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3488" w14:textId="020D7F9B" w:rsidR="00C63FB9" w:rsidRDefault="00C92AFD" w:rsidP="00C92AFD">
      <w:pPr>
        <w:jc w:val="center"/>
      </w:pPr>
      <w:r>
        <w:rPr>
          <w:noProof/>
        </w:rPr>
        <w:drawing>
          <wp:inline distT="0" distB="0" distL="0" distR="0" wp14:anchorId="5AE51EB8" wp14:editId="3C53558A">
            <wp:extent cx="1190625" cy="1190625"/>
            <wp:effectExtent l="0" t="0" r="9525" b="9525"/>
            <wp:docPr id="3" name="Picture 5" descr="A purple diamond with arrows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purple diamond with arrows and a heart&#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706E74DE" w14:textId="287B5CC0" w:rsidR="00C92AFD" w:rsidRPr="00A81125" w:rsidRDefault="00C92AFD" w:rsidP="00C92AFD">
      <w:pPr>
        <w:spacing w:after="0"/>
        <w:jc w:val="center"/>
        <w:rPr>
          <w:b/>
          <w:bCs/>
          <w:sz w:val="28"/>
          <w:szCs w:val="28"/>
        </w:rPr>
      </w:pPr>
      <w:r w:rsidRPr="00A81125">
        <w:rPr>
          <w:b/>
          <w:bCs/>
          <w:sz w:val="28"/>
          <w:szCs w:val="28"/>
        </w:rPr>
        <w:t>Adult Violent Death Review Team</w:t>
      </w:r>
    </w:p>
    <w:p w14:paraId="3251F66B" w14:textId="2231E872" w:rsidR="00C92AFD" w:rsidRPr="00A81125" w:rsidRDefault="00C92AFD" w:rsidP="00C92AFD">
      <w:pPr>
        <w:spacing w:after="0"/>
        <w:jc w:val="center"/>
        <w:rPr>
          <w:b/>
          <w:bCs/>
        </w:rPr>
      </w:pPr>
      <w:r w:rsidRPr="00A81125">
        <w:rPr>
          <w:b/>
          <w:bCs/>
        </w:rPr>
        <w:t>2018-2023</w:t>
      </w:r>
    </w:p>
    <w:p w14:paraId="2EBF779B" w14:textId="77777777" w:rsidR="00C92AFD" w:rsidRDefault="00C92AFD" w:rsidP="00C92AFD">
      <w:pPr>
        <w:spacing w:after="0"/>
        <w:jc w:val="center"/>
      </w:pPr>
    </w:p>
    <w:p w14:paraId="2AA5B2DB" w14:textId="2D2EFB06" w:rsidR="00C92AFD" w:rsidRDefault="00C92AFD" w:rsidP="00C92AFD">
      <w:pPr>
        <w:spacing w:after="0"/>
        <w:jc w:val="both"/>
      </w:pPr>
      <w:r>
        <w:t>The case review data described below includes information from 85 cases reviewed</w:t>
      </w:r>
      <w:r w:rsidR="00D26063">
        <w:t xml:space="preserve"> from</w:t>
      </w:r>
      <w:r>
        <w:t xml:space="preserve"> 2018 through 2023.   The data is based on the number of cases reviewed by the team during that timeframe and does not reflect the total number of intimate partner homicides for the time-period. </w:t>
      </w:r>
    </w:p>
    <w:p w14:paraId="36346EEC" w14:textId="77777777" w:rsidR="00C92AFD" w:rsidRDefault="00C92AFD" w:rsidP="00C92AFD">
      <w:pPr>
        <w:spacing w:after="0"/>
        <w:jc w:val="both"/>
      </w:pPr>
    </w:p>
    <w:p w14:paraId="789064D3" w14:textId="5C76170E" w:rsidR="00C92AFD" w:rsidRDefault="00C92AFD" w:rsidP="00C92AFD">
      <w:pPr>
        <w:spacing w:after="0"/>
        <w:jc w:val="both"/>
      </w:pPr>
      <w:r>
        <w:rPr>
          <w:noProof/>
        </w:rPr>
        <w:drawing>
          <wp:inline distT="0" distB="0" distL="0" distR="0" wp14:anchorId="395F5B56" wp14:editId="34A4E0CE">
            <wp:extent cx="5486400" cy="3200400"/>
            <wp:effectExtent l="0" t="0" r="0" b="0"/>
            <wp:docPr id="19351098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3C07030" w14:textId="59244691" w:rsidR="00C92AFD" w:rsidRDefault="00C92AFD" w:rsidP="00D26063"/>
    <w:p w14:paraId="19EADB72" w14:textId="77777777" w:rsidR="00D26063" w:rsidRDefault="00D26063" w:rsidP="00D26063"/>
    <w:tbl>
      <w:tblPr>
        <w:tblStyle w:val="TableGrid"/>
        <w:tblW w:w="0" w:type="auto"/>
        <w:tblLook w:val="04A0" w:firstRow="1" w:lastRow="0" w:firstColumn="1" w:lastColumn="0" w:noHBand="0" w:noVBand="1"/>
      </w:tblPr>
      <w:tblGrid>
        <w:gridCol w:w="1870"/>
        <w:gridCol w:w="1870"/>
        <w:gridCol w:w="1870"/>
        <w:gridCol w:w="1870"/>
        <w:gridCol w:w="1870"/>
      </w:tblGrid>
      <w:tr w:rsidR="00C92AFD" w14:paraId="58D77365" w14:textId="77777777" w:rsidTr="00C92AFD">
        <w:tc>
          <w:tcPr>
            <w:tcW w:w="1870" w:type="dxa"/>
          </w:tcPr>
          <w:p w14:paraId="195D8322" w14:textId="04CA78A8" w:rsidR="00C92AFD" w:rsidRPr="00D26063" w:rsidRDefault="00C92AFD" w:rsidP="00C92AFD">
            <w:pPr>
              <w:jc w:val="center"/>
              <w:rPr>
                <w:b/>
                <w:bCs/>
              </w:rPr>
            </w:pPr>
            <w:r w:rsidRPr="00D26063">
              <w:rPr>
                <w:b/>
                <w:bCs/>
              </w:rPr>
              <w:t>Race</w:t>
            </w:r>
          </w:p>
        </w:tc>
        <w:tc>
          <w:tcPr>
            <w:tcW w:w="1870" w:type="dxa"/>
          </w:tcPr>
          <w:p w14:paraId="337C75A3" w14:textId="0A2193CE" w:rsidR="00C92AFD" w:rsidRPr="00D26063" w:rsidRDefault="00C92AFD" w:rsidP="00C92AFD">
            <w:pPr>
              <w:jc w:val="center"/>
              <w:rPr>
                <w:b/>
                <w:bCs/>
              </w:rPr>
            </w:pPr>
            <w:r w:rsidRPr="00D26063">
              <w:rPr>
                <w:b/>
                <w:bCs/>
              </w:rPr>
              <w:t>Number of Victims</w:t>
            </w:r>
          </w:p>
        </w:tc>
        <w:tc>
          <w:tcPr>
            <w:tcW w:w="1870" w:type="dxa"/>
          </w:tcPr>
          <w:p w14:paraId="48B9B03A" w14:textId="5EBA169F" w:rsidR="00C92AFD" w:rsidRPr="00D26063" w:rsidRDefault="00C92AFD" w:rsidP="00C92AFD">
            <w:pPr>
              <w:jc w:val="center"/>
              <w:rPr>
                <w:b/>
                <w:bCs/>
              </w:rPr>
            </w:pPr>
            <w:r w:rsidRPr="00D26063">
              <w:rPr>
                <w:b/>
                <w:bCs/>
              </w:rPr>
              <w:t>Percentage</w:t>
            </w:r>
          </w:p>
        </w:tc>
        <w:tc>
          <w:tcPr>
            <w:tcW w:w="1870" w:type="dxa"/>
          </w:tcPr>
          <w:p w14:paraId="16AA7BE3" w14:textId="7DAC91EE" w:rsidR="00C92AFD" w:rsidRPr="00D26063" w:rsidRDefault="00C92AFD" w:rsidP="00C92AFD">
            <w:pPr>
              <w:jc w:val="center"/>
              <w:rPr>
                <w:b/>
                <w:bCs/>
              </w:rPr>
            </w:pPr>
            <w:r w:rsidRPr="00D26063">
              <w:rPr>
                <w:b/>
                <w:bCs/>
              </w:rPr>
              <w:t>Number of Perpetrators</w:t>
            </w:r>
          </w:p>
        </w:tc>
        <w:tc>
          <w:tcPr>
            <w:tcW w:w="1870" w:type="dxa"/>
          </w:tcPr>
          <w:p w14:paraId="255F6CA3" w14:textId="6BAFF0D5" w:rsidR="00C92AFD" w:rsidRPr="00D26063" w:rsidRDefault="00C92AFD" w:rsidP="00C92AFD">
            <w:pPr>
              <w:jc w:val="center"/>
              <w:rPr>
                <w:b/>
                <w:bCs/>
              </w:rPr>
            </w:pPr>
            <w:r w:rsidRPr="00D26063">
              <w:rPr>
                <w:b/>
                <w:bCs/>
              </w:rPr>
              <w:t xml:space="preserve">Percentage </w:t>
            </w:r>
          </w:p>
        </w:tc>
      </w:tr>
      <w:tr w:rsidR="00C92AFD" w14:paraId="35B51413" w14:textId="77777777" w:rsidTr="00C92AFD">
        <w:tc>
          <w:tcPr>
            <w:tcW w:w="1870" w:type="dxa"/>
          </w:tcPr>
          <w:p w14:paraId="5C72BCC9" w14:textId="30BF5F8D" w:rsidR="00C92AFD" w:rsidRDefault="00C92AFD" w:rsidP="00C92AFD">
            <w:pPr>
              <w:jc w:val="center"/>
            </w:pPr>
            <w:r>
              <w:t>African American</w:t>
            </w:r>
          </w:p>
        </w:tc>
        <w:tc>
          <w:tcPr>
            <w:tcW w:w="1870" w:type="dxa"/>
          </w:tcPr>
          <w:p w14:paraId="38C155B8" w14:textId="7B9C6CE8" w:rsidR="00C92AFD" w:rsidRDefault="00C92AFD" w:rsidP="00C92AFD">
            <w:pPr>
              <w:jc w:val="center"/>
            </w:pPr>
            <w:r>
              <w:t>37</w:t>
            </w:r>
          </w:p>
        </w:tc>
        <w:tc>
          <w:tcPr>
            <w:tcW w:w="1870" w:type="dxa"/>
          </w:tcPr>
          <w:p w14:paraId="6C02407E" w14:textId="25A71FEA" w:rsidR="00C92AFD" w:rsidRDefault="00C92AFD" w:rsidP="00C92AFD">
            <w:pPr>
              <w:jc w:val="center"/>
            </w:pPr>
            <w:r>
              <w:t>43.5%</w:t>
            </w:r>
          </w:p>
        </w:tc>
        <w:tc>
          <w:tcPr>
            <w:tcW w:w="1870" w:type="dxa"/>
          </w:tcPr>
          <w:p w14:paraId="2D711B02" w14:textId="26DCA403" w:rsidR="00C92AFD" w:rsidRDefault="00C92AFD" w:rsidP="00C92AFD">
            <w:pPr>
              <w:jc w:val="center"/>
            </w:pPr>
            <w:r>
              <w:t>39</w:t>
            </w:r>
          </w:p>
        </w:tc>
        <w:tc>
          <w:tcPr>
            <w:tcW w:w="1870" w:type="dxa"/>
          </w:tcPr>
          <w:p w14:paraId="6725F1AB" w14:textId="03F8E783" w:rsidR="00C92AFD" w:rsidRDefault="00C92AFD" w:rsidP="00C92AFD">
            <w:pPr>
              <w:jc w:val="center"/>
            </w:pPr>
            <w:r>
              <w:t>45.8%</w:t>
            </w:r>
          </w:p>
        </w:tc>
      </w:tr>
      <w:tr w:rsidR="00C92AFD" w14:paraId="4925F14C" w14:textId="77777777" w:rsidTr="00C92AFD">
        <w:tc>
          <w:tcPr>
            <w:tcW w:w="1870" w:type="dxa"/>
          </w:tcPr>
          <w:p w14:paraId="7ECFE667" w14:textId="1343CD7D" w:rsidR="00C92AFD" w:rsidRDefault="00C92AFD" w:rsidP="00C92AFD">
            <w:pPr>
              <w:jc w:val="center"/>
            </w:pPr>
            <w:r>
              <w:t>Hispanic</w:t>
            </w:r>
          </w:p>
        </w:tc>
        <w:tc>
          <w:tcPr>
            <w:tcW w:w="1870" w:type="dxa"/>
          </w:tcPr>
          <w:p w14:paraId="08C704E4" w14:textId="4886F729" w:rsidR="00C92AFD" w:rsidRDefault="00D26063" w:rsidP="00C92AFD">
            <w:pPr>
              <w:jc w:val="center"/>
            </w:pPr>
            <w:r>
              <w:t>27</w:t>
            </w:r>
          </w:p>
        </w:tc>
        <w:tc>
          <w:tcPr>
            <w:tcW w:w="1870" w:type="dxa"/>
          </w:tcPr>
          <w:p w14:paraId="561361E3" w14:textId="4BA9F30F" w:rsidR="00C92AFD" w:rsidRDefault="00D26063" w:rsidP="00C92AFD">
            <w:pPr>
              <w:jc w:val="center"/>
            </w:pPr>
            <w:r>
              <w:t>31.7%</w:t>
            </w:r>
          </w:p>
        </w:tc>
        <w:tc>
          <w:tcPr>
            <w:tcW w:w="1870" w:type="dxa"/>
          </w:tcPr>
          <w:p w14:paraId="409F311C" w14:textId="5C9397DF" w:rsidR="00C92AFD" w:rsidRDefault="00D26063" w:rsidP="00C92AFD">
            <w:pPr>
              <w:jc w:val="center"/>
            </w:pPr>
            <w:r>
              <w:t>26</w:t>
            </w:r>
          </w:p>
        </w:tc>
        <w:tc>
          <w:tcPr>
            <w:tcW w:w="1870" w:type="dxa"/>
          </w:tcPr>
          <w:p w14:paraId="362BCB60" w14:textId="5CAD6365" w:rsidR="00C92AFD" w:rsidRDefault="00D26063" w:rsidP="00C92AFD">
            <w:pPr>
              <w:jc w:val="center"/>
            </w:pPr>
            <w:r>
              <w:t>30.5%</w:t>
            </w:r>
          </w:p>
        </w:tc>
      </w:tr>
      <w:tr w:rsidR="00C92AFD" w14:paraId="72DBF7A5" w14:textId="77777777" w:rsidTr="00C92AFD">
        <w:tc>
          <w:tcPr>
            <w:tcW w:w="1870" w:type="dxa"/>
          </w:tcPr>
          <w:p w14:paraId="4FA6DF21" w14:textId="419CC1CA" w:rsidR="00C92AFD" w:rsidRDefault="00D26063" w:rsidP="00C92AFD">
            <w:pPr>
              <w:jc w:val="center"/>
            </w:pPr>
            <w:r>
              <w:t>White, non-Hispanic</w:t>
            </w:r>
          </w:p>
        </w:tc>
        <w:tc>
          <w:tcPr>
            <w:tcW w:w="1870" w:type="dxa"/>
          </w:tcPr>
          <w:p w14:paraId="4FCACBC1" w14:textId="16057A6B" w:rsidR="00C92AFD" w:rsidRDefault="00D26063" w:rsidP="00C92AFD">
            <w:pPr>
              <w:jc w:val="center"/>
            </w:pPr>
            <w:r>
              <w:t>18</w:t>
            </w:r>
          </w:p>
        </w:tc>
        <w:tc>
          <w:tcPr>
            <w:tcW w:w="1870" w:type="dxa"/>
          </w:tcPr>
          <w:p w14:paraId="31F791FE" w14:textId="3D1C720E" w:rsidR="00C92AFD" w:rsidRDefault="00D26063" w:rsidP="00C92AFD">
            <w:pPr>
              <w:jc w:val="center"/>
            </w:pPr>
            <w:r>
              <w:t>21.2%</w:t>
            </w:r>
          </w:p>
        </w:tc>
        <w:tc>
          <w:tcPr>
            <w:tcW w:w="1870" w:type="dxa"/>
          </w:tcPr>
          <w:p w14:paraId="01A87FD0" w14:textId="5DD14F0C" w:rsidR="00C92AFD" w:rsidRDefault="00D26063" w:rsidP="00C92AFD">
            <w:pPr>
              <w:jc w:val="center"/>
            </w:pPr>
            <w:r>
              <w:t>18</w:t>
            </w:r>
          </w:p>
        </w:tc>
        <w:tc>
          <w:tcPr>
            <w:tcW w:w="1870" w:type="dxa"/>
          </w:tcPr>
          <w:p w14:paraId="383C0D6E" w14:textId="020A660B" w:rsidR="00C92AFD" w:rsidRDefault="00D26063" w:rsidP="00C92AFD">
            <w:pPr>
              <w:jc w:val="center"/>
            </w:pPr>
            <w:r>
              <w:t>21.2%</w:t>
            </w:r>
          </w:p>
        </w:tc>
      </w:tr>
      <w:tr w:rsidR="00C92AFD" w14:paraId="6FBE800D" w14:textId="77777777" w:rsidTr="00C92AFD">
        <w:tc>
          <w:tcPr>
            <w:tcW w:w="1870" w:type="dxa"/>
          </w:tcPr>
          <w:p w14:paraId="7BB87391" w14:textId="55F53757" w:rsidR="00C92AFD" w:rsidRDefault="00D26063" w:rsidP="00C92AFD">
            <w:pPr>
              <w:jc w:val="center"/>
            </w:pPr>
            <w:r>
              <w:t>Asian</w:t>
            </w:r>
          </w:p>
        </w:tc>
        <w:tc>
          <w:tcPr>
            <w:tcW w:w="1870" w:type="dxa"/>
          </w:tcPr>
          <w:p w14:paraId="6E3680FA" w14:textId="3B58E14B" w:rsidR="00C92AFD" w:rsidRDefault="00D26063" w:rsidP="00C92AFD">
            <w:pPr>
              <w:jc w:val="center"/>
            </w:pPr>
            <w:r>
              <w:t>2</w:t>
            </w:r>
          </w:p>
        </w:tc>
        <w:tc>
          <w:tcPr>
            <w:tcW w:w="1870" w:type="dxa"/>
          </w:tcPr>
          <w:p w14:paraId="3BFEE80A" w14:textId="0881BFCB" w:rsidR="00C92AFD" w:rsidRDefault="00D26063" w:rsidP="00C92AFD">
            <w:pPr>
              <w:jc w:val="center"/>
            </w:pPr>
            <w:r>
              <w:t>2.3%</w:t>
            </w:r>
          </w:p>
        </w:tc>
        <w:tc>
          <w:tcPr>
            <w:tcW w:w="1870" w:type="dxa"/>
          </w:tcPr>
          <w:p w14:paraId="3D188CCB" w14:textId="74A78AFC" w:rsidR="00C92AFD" w:rsidRDefault="00D26063" w:rsidP="00C92AFD">
            <w:pPr>
              <w:jc w:val="center"/>
            </w:pPr>
            <w:r>
              <w:t>1</w:t>
            </w:r>
          </w:p>
        </w:tc>
        <w:tc>
          <w:tcPr>
            <w:tcW w:w="1870" w:type="dxa"/>
          </w:tcPr>
          <w:p w14:paraId="71DE1452" w14:textId="73E3664B" w:rsidR="00C92AFD" w:rsidRDefault="00D26063" w:rsidP="00C92AFD">
            <w:pPr>
              <w:jc w:val="center"/>
            </w:pPr>
            <w:r>
              <w:t>1.2%</w:t>
            </w:r>
          </w:p>
        </w:tc>
      </w:tr>
      <w:tr w:rsidR="00D26063" w14:paraId="3DD3E58C" w14:textId="77777777" w:rsidTr="00C92AFD">
        <w:tc>
          <w:tcPr>
            <w:tcW w:w="1870" w:type="dxa"/>
          </w:tcPr>
          <w:p w14:paraId="1BF3CD36" w14:textId="28D05367" w:rsidR="00D26063" w:rsidRDefault="00D26063" w:rsidP="00C92AFD">
            <w:pPr>
              <w:jc w:val="center"/>
            </w:pPr>
            <w:r>
              <w:t>Other</w:t>
            </w:r>
          </w:p>
        </w:tc>
        <w:tc>
          <w:tcPr>
            <w:tcW w:w="1870" w:type="dxa"/>
          </w:tcPr>
          <w:p w14:paraId="7314619D" w14:textId="5B1C7009" w:rsidR="00D26063" w:rsidRDefault="00D26063" w:rsidP="00C92AFD">
            <w:pPr>
              <w:jc w:val="center"/>
            </w:pPr>
            <w:r>
              <w:t>1</w:t>
            </w:r>
          </w:p>
        </w:tc>
        <w:tc>
          <w:tcPr>
            <w:tcW w:w="1870" w:type="dxa"/>
          </w:tcPr>
          <w:p w14:paraId="6FF1AB6F" w14:textId="2D9B0A98" w:rsidR="00D26063" w:rsidRDefault="00D26063" w:rsidP="00C92AFD">
            <w:pPr>
              <w:jc w:val="center"/>
            </w:pPr>
            <w:r>
              <w:t>1.2%</w:t>
            </w:r>
          </w:p>
        </w:tc>
        <w:tc>
          <w:tcPr>
            <w:tcW w:w="1870" w:type="dxa"/>
          </w:tcPr>
          <w:p w14:paraId="254AB4A4" w14:textId="2FF2418F" w:rsidR="00D26063" w:rsidRDefault="00D26063" w:rsidP="00C92AFD">
            <w:pPr>
              <w:jc w:val="center"/>
            </w:pPr>
            <w:r>
              <w:t>1</w:t>
            </w:r>
          </w:p>
        </w:tc>
        <w:tc>
          <w:tcPr>
            <w:tcW w:w="1870" w:type="dxa"/>
          </w:tcPr>
          <w:p w14:paraId="3E00C009" w14:textId="0AEA2370" w:rsidR="00D26063" w:rsidRDefault="00D26063" w:rsidP="00C92AFD">
            <w:pPr>
              <w:jc w:val="center"/>
            </w:pPr>
            <w:r>
              <w:t>1.2%</w:t>
            </w:r>
          </w:p>
        </w:tc>
      </w:tr>
      <w:tr w:rsidR="00D26063" w:rsidRPr="00BA5B67" w14:paraId="5543FDA7" w14:textId="77777777" w:rsidTr="00C92AFD">
        <w:tc>
          <w:tcPr>
            <w:tcW w:w="1870" w:type="dxa"/>
          </w:tcPr>
          <w:p w14:paraId="505377FC" w14:textId="63570337" w:rsidR="00D26063" w:rsidRPr="00BA5B67" w:rsidRDefault="00D26063" w:rsidP="00C92AFD">
            <w:pPr>
              <w:jc w:val="center"/>
              <w:rPr>
                <w:b/>
                <w:bCs/>
              </w:rPr>
            </w:pPr>
            <w:r w:rsidRPr="00BA5B67">
              <w:rPr>
                <w:b/>
                <w:bCs/>
              </w:rPr>
              <w:t>Total</w:t>
            </w:r>
          </w:p>
        </w:tc>
        <w:tc>
          <w:tcPr>
            <w:tcW w:w="1870" w:type="dxa"/>
          </w:tcPr>
          <w:p w14:paraId="2D2ED83D" w14:textId="0F13D57B" w:rsidR="00D26063" w:rsidRPr="00BA5B67" w:rsidRDefault="00D26063" w:rsidP="00C92AFD">
            <w:pPr>
              <w:jc w:val="center"/>
              <w:rPr>
                <w:b/>
                <w:bCs/>
              </w:rPr>
            </w:pPr>
            <w:r w:rsidRPr="00BA5B67">
              <w:rPr>
                <w:b/>
                <w:bCs/>
              </w:rPr>
              <w:t>85</w:t>
            </w:r>
          </w:p>
        </w:tc>
        <w:tc>
          <w:tcPr>
            <w:tcW w:w="1870" w:type="dxa"/>
          </w:tcPr>
          <w:p w14:paraId="792A5FE4" w14:textId="77777777" w:rsidR="00D26063" w:rsidRPr="00BA5B67" w:rsidRDefault="00D26063" w:rsidP="00C92AFD">
            <w:pPr>
              <w:jc w:val="center"/>
              <w:rPr>
                <w:b/>
                <w:bCs/>
              </w:rPr>
            </w:pPr>
          </w:p>
        </w:tc>
        <w:tc>
          <w:tcPr>
            <w:tcW w:w="1870" w:type="dxa"/>
          </w:tcPr>
          <w:p w14:paraId="69ADB5D2" w14:textId="3DF9E900" w:rsidR="00D26063" w:rsidRPr="00BA5B67" w:rsidRDefault="00D26063" w:rsidP="00C92AFD">
            <w:pPr>
              <w:jc w:val="center"/>
              <w:rPr>
                <w:b/>
                <w:bCs/>
              </w:rPr>
            </w:pPr>
            <w:r w:rsidRPr="00BA5B67">
              <w:rPr>
                <w:b/>
                <w:bCs/>
              </w:rPr>
              <w:t xml:space="preserve">85 </w:t>
            </w:r>
          </w:p>
        </w:tc>
        <w:tc>
          <w:tcPr>
            <w:tcW w:w="1870" w:type="dxa"/>
          </w:tcPr>
          <w:p w14:paraId="48252D34" w14:textId="77777777" w:rsidR="00D26063" w:rsidRPr="00BA5B67" w:rsidRDefault="00D26063" w:rsidP="00C92AFD">
            <w:pPr>
              <w:jc w:val="center"/>
              <w:rPr>
                <w:b/>
                <w:bCs/>
              </w:rPr>
            </w:pPr>
          </w:p>
        </w:tc>
      </w:tr>
    </w:tbl>
    <w:p w14:paraId="7FB6DBA6" w14:textId="77777777" w:rsidR="00C92AFD" w:rsidRPr="00BA5B67" w:rsidRDefault="00C92AFD" w:rsidP="00D26063">
      <w:pPr>
        <w:jc w:val="both"/>
        <w:rPr>
          <w:b/>
          <w:bCs/>
        </w:rPr>
      </w:pPr>
    </w:p>
    <w:sectPr w:rsidR="00C92AFD" w:rsidRPr="00BA5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FD"/>
    <w:rsid w:val="00295558"/>
    <w:rsid w:val="004E3B41"/>
    <w:rsid w:val="005D3423"/>
    <w:rsid w:val="009F5497"/>
    <w:rsid w:val="00A55C65"/>
    <w:rsid w:val="00A81125"/>
    <w:rsid w:val="00B54E6A"/>
    <w:rsid w:val="00BA5B67"/>
    <w:rsid w:val="00C63FB9"/>
    <w:rsid w:val="00C92AFD"/>
    <w:rsid w:val="00CD27B6"/>
    <w:rsid w:val="00CF7B55"/>
    <w:rsid w:val="00D26063"/>
    <w:rsid w:val="00D315D4"/>
    <w:rsid w:val="00DE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A8A0"/>
  <w15:chartTrackingRefBased/>
  <w15:docId w15:val="{6912445A-093B-4B81-8B06-0EC7E3FE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Race/Ethnicity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Victim</c:v>
                </c:pt>
              </c:strCache>
            </c:strRef>
          </c:tx>
          <c:spPr>
            <a:solidFill>
              <a:schemeClr val="accent2"/>
            </a:solidFill>
            <a:ln>
              <a:noFill/>
            </a:ln>
            <a:effectLst/>
          </c:spPr>
          <c:invertIfNegative val="0"/>
          <c:cat>
            <c:strRef>
              <c:f>Sheet1!$A$2:$A$6</c:f>
              <c:strCache>
                <c:ptCount val="5"/>
                <c:pt idx="0">
                  <c:v>African American </c:v>
                </c:pt>
                <c:pt idx="1">
                  <c:v>Hispanic</c:v>
                </c:pt>
                <c:pt idx="2">
                  <c:v>White Non-Hispanic</c:v>
                </c:pt>
                <c:pt idx="3">
                  <c:v>Asian</c:v>
                </c:pt>
                <c:pt idx="4">
                  <c:v>Other</c:v>
                </c:pt>
              </c:strCache>
            </c:strRef>
          </c:cat>
          <c:val>
            <c:numRef>
              <c:f>Sheet1!$B$2:$B$6</c:f>
              <c:numCache>
                <c:formatCode>General</c:formatCode>
                <c:ptCount val="5"/>
                <c:pt idx="0">
                  <c:v>37</c:v>
                </c:pt>
                <c:pt idx="1">
                  <c:v>27</c:v>
                </c:pt>
                <c:pt idx="2">
                  <c:v>18</c:v>
                </c:pt>
                <c:pt idx="3">
                  <c:v>2</c:v>
                </c:pt>
                <c:pt idx="4">
                  <c:v>1</c:v>
                </c:pt>
              </c:numCache>
            </c:numRef>
          </c:val>
          <c:extLst>
            <c:ext xmlns:c16="http://schemas.microsoft.com/office/drawing/2014/chart" uri="{C3380CC4-5D6E-409C-BE32-E72D297353CC}">
              <c16:uniqueId val="{00000000-7EA4-41AE-B60E-258A59BDBC3B}"/>
            </c:ext>
          </c:extLst>
        </c:ser>
        <c:ser>
          <c:idx val="1"/>
          <c:order val="1"/>
          <c:tx>
            <c:strRef>
              <c:f>Sheet1!$C$1</c:f>
              <c:strCache>
                <c:ptCount val="1"/>
                <c:pt idx="0">
                  <c:v>Perpetrator</c:v>
                </c:pt>
              </c:strCache>
            </c:strRef>
          </c:tx>
          <c:spPr>
            <a:solidFill>
              <a:schemeClr val="accent4"/>
            </a:solidFill>
            <a:ln>
              <a:noFill/>
            </a:ln>
            <a:effectLst/>
          </c:spPr>
          <c:invertIfNegative val="0"/>
          <c:cat>
            <c:strRef>
              <c:f>Sheet1!$A$2:$A$6</c:f>
              <c:strCache>
                <c:ptCount val="5"/>
                <c:pt idx="0">
                  <c:v>African American </c:v>
                </c:pt>
                <c:pt idx="1">
                  <c:v>Hispanic</c:v>
                </c:pt>
                <c:pt idx="2">
                  <c:v>White Non-Hispanic</c:v>
                </c:pt>
                <c:pt idx="3">
                  <c:v>Asian</c:v>
                </c:pt>
                <c:pt idx="4">
                  <c:v>Other</c:v>
                </c:pt>
              </c:strCache>
            </c:strRef>
          </c:cat>
          <c:val>
            <c:numRef>
              <c:f>Sheet1!$C$2:$C$6</c:f>
              <c:numCache>
                <c:formatCode>General</c:formatCode>
                <c:ptCount val="5"/>
                <c:pt idx="0">
                  <c:v>39</c:v>
                </c:pt>
                <c:pt idx="1">
                  <c:v>26</c:v>
                </c:pt>
                <c:pt idx="2">
                  <c:v>18</c:v>
                </c:pt>
                <c:pt idx="3">
                  <c:v>1</c:v>
                </c:pt>
                <c:pt idx="4">
                  <c:v>1</c:v>
                </c:pt>
              </c:numCache>
            </c:numRef>
          </c:val>
          <c:extLst>
            <c:ext xmlns:c16="http://schemas.microsoft.com/office/drawing/2014/chart" uri="{C3380CC4-5D6E-409C-BE32-E72D297353CC}">
              <c16:uniqueId val="{00000001-7EA4-41AE-B60E-258A59BDBC3B}"/>
            </c:ext>
          </c:extLst>
        </c:ser>
        <c:dLbls>
          <c:showLegendKey val="0"/>
          <c:showVal val="0"/>
          <c:showCatName val="0"/>
          <c:showSerName val="0"/>
          <c:showPercent val="0"/>
          <c:showBubbleSize val="0"/>
        </c:dLbls>
        <c:gapWidth val="182"/>
        <c:axId val="506740864"/>
        <c:axId val="506739064"/>
      </c:barChart>
      <c:catAx>
        <c:axId val="506740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739064"/>
        <c:crosses val="autoZero"/>
        <c:auto val="1"/>
        <c:lblAlgn val="ctr"/>
        <c:lblOffset val="100"/>
        <c:noMultiLvlLbl val="0"/>
      </c:catAx>
      <c:valAx>
        <c:axId val="506739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74086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Smith</dc:creator>
  <cp:keywords/>
  <dc:description/>
  <cp:lastModifiedBy>Amy Smith</cp:lastModifiedBy>
  <cp:revision>2</cp:revision>
  <dcterms:created xsi:type="dcterms:W3CDTF">2025-10-08T19:04:00Z</dcterms:created>
  <dcterms:modified xsi:type="dcterms:W3CDTF">2025-10-08T19:04:00Z</dcterms:modified>
</cp:coreProperties>
</file>